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A66ED6" w:rsidRPr="00120CA1" w:rsidP="00A66ED6" w14:paraId="61E6C3D7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120CA1">
        <w:rPr>
          <w:rFonts w:ascii="Arial" w:hAnsi="Arial" w:cs="Arial"/>
          <w:b/>
        </w:rPr>
        <w:t>Перечень документов,</w:t>
      </w:r>
      <w:r w:rsidRPr="00120CA1">
        <w:rPr>
          <w:rFonts w:ascii="Arial" w:hAnsi="Arial" w:cs="Arial"/>
          <w:b/>
          <w:bCs/>
        </w:rPr>
        <w:t xml:space="preserve"> предоставляемых гражданами-потребителями для заключения договора энергоснабжения в отношении нежилых объектов </w:t>
      </w:r>
      <w:r w:rsidRPr="00120CA1">
        <w:rPr>
          <w:rFonts w:ascii="Arial" w:hAnsi="Arial" w:cs="Arial"/>
          <w:b/>
        </w:rPr>
        <w:t xml:space="preserve">(строений, помещений и т.д.) </w:t>
      </w:r>
    </w:p>
    <w:p w:rsidR="00D311BC" w:rsidRPr="00120CA1" w:rsidP="00D311BC" w14:paraId="61E6C3D8" w14:textId="77777777">
      <w:pPr>
        <w:pStyle w:val="a1"/>
        <w:jc w:val="center"/>
        <w:rPr>
          <w:rFonts w:cs="Arial"/>
          <w:i/>
        </w:rPr>
      </w:pPr>
      <w:r w:rsidRPr="00120CA1">
        <w:rPr>
          <w:rFonts w:cs="Arial"/>
          <w:i/>
        </w:rPr>
        <w:t>в соответствии с Основными положениями</w:t>
      </w:r>
      <w:r>
        <w:rPr>
          <w:rStyle w:val="FootnoteReference"/>
          <w:rFonts w:cs="Arial"/>
          <w:i/>
        </w:rPr>
        <w:footnoteReference w:id="2"/>
      </w:r>
    </w:p>
    <w:p w:rsidR="008B40E2" w:rsidRPr="006754A9" w:rsidP="006754A9" w14:paraId="61E6C3D9" w14:textId="77777777">
      <w:pPr>
        <w:autoSpaceDE w:val="0"/>
        <w:autoSpaceDN w:val="0"/>
        <w:adjustRightInd w:val="0"/>
        <w:spacing w:after="0" w:line="240" w:lineRule="auto"/>
        <w:ind w:left="426" w:right="-1" w:firstLine="708"/>
        <w:jc w:val="both"/>
        <w:outlineLvl w:val="1"/>
        <w:rPr>
          <w:rFonts w:cs="Arial"/>
          <w:sz w:val="20"/>
          <w:szCs w:val="20"/>
        </w:rPr>
      </w:pPr>
      <w:r w:rsidRPr="006754A9">
        <w:rPr>
          <w:rFonts w:ascii="Arial" w:hAnsi="Arial" w:cs="Arial"/>
          <w:sz w:val="20"/>
          <w:szCs w:val="20"/>
        </w:rPr>
        <w:t xml:space="preserve">Если в отношении </w:t>
      </w:r>
      <w:r w:rsidRPr="006754A9">
        <w:rPr>
          <w:rFonts w:ascii="Arial" w:hAnsi="Arial" w:cs="Arial"/>
          <w:sz w:val="20"/>
          <w:szCs w:val="20"/>
        </w:rPr>
        <w:t>энергопринимающих</w:t>
      </w:r>
      <w:r w:rsidRPr="006754A9">
        <w:rPr>
          <w:rFonts w:ascii="Arial" w:hAnsi="Arial" w:cs="Arial"/>
          <w:sz w:val="20"/>
          <w:szCs w:val="20"/>
        </w:rPr>
        <w:t xml:space="preserve"> устройств заявителя начата процедура технологического присоединения, заявление о заключении договора в АО «ЭК «Восток» не подается. В таком случае указанное заявление подается через сетевую организацию, к объектам которой планируется осуществление технологического присоединения</w:t>
      </w:r>
      <w:r>
        <w:rPr>
          <w:rStyle w:val="FootnoteReference"/>
          <w:rFonts w:ascii="Arial" w:hAnsi="Arial" w:cs="Arial"/>
          <w:sz w:val="20"/>
          <w:szCs w:val="20"/>
        </w:rPr>
        <w:footnoteReference w:id="3"/>
      </w:r>
      <w:r w:rsidRPr="006754A9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518" w:type="dxa"/>
        <w:tblInd w:w="392" w:type="dxa"/>
        <w:tblLayout w:type="fixed"/>
        <w:tblLook w:val="04A0"/>
      </w:tblPr>
      <w:tblGrid>
        <w:gridCol w:w="425"/>
        <w:gridCol w:w="10093"/>
      </w:tblGrid>
      <w:tr w14:paraId="61E6C3DC" w14:textId="77777777" w:rsidTr="00C44FBF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6A6A6" w:themeFill="background1" w:themeFillShade="A6"/>
          </w:tcPr>
          <w:p w:rsidR="00BA082E" w:rsidRPr="00C97DDA" w:rsidP="0052026B" w14:paraId="61E6C3DA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093" w:type="dxa"/>
            <w:shd w:val="clear" w:color="auto" w:fill="A6A6A6" w:themeFill="background1" w:themeFillShade="A6"/>
          </w:tcPr>
          <w:p w:rsidR="00BA082E" w:rsidRPr="00C97DDA" w:rsidP="0052026B" w14:paraId="61E6C3DB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61E6C3E2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3D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ind w:left="142" w:firstLine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A730E" w:rsidRPr="00C97DDA" w:rsidP="00BA082E" w14:paraId="61E6C3D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0B607F" w:rsidRPr="00C97DDA" w:rsidP="00BA082E" w14:paraId="61E6C3DF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sz w:val="20"/>
                <w:szCs w:val="20"/>
              </w:rPr>
              <w:t>с указанием:</w:t>
            </w:r>
          </w:p>
          <w:p w:rsidR="000B607F" w:rsidRPr="00C97DDA" w:rsidP="0036185F" w14:paraId="61E6C3E0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C97DDA">
              <w:rPr>
                <w:rFonts w:ascii="Arial" w:hAnsi="Arial" w:cs="Arial"/>
                <w:sz w:val="20"/>
                <w:szCs w:val="20"/>
              </w:rPr>
              <w:t xml:space="preserve">места нахождения </w:t>
            </w:r>
            <w:r w:rsidRPr="00C97DDA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устройств, в отношении которых заявитель намерен заключить договор, банковских реквизитов, иных необходимых для составления договора сведений согласно требованиям действующего законодательства.</w:t>
            </w:r>
          </w:p>
          <w:p w:rsidR="00BA082E" w:rsidRPr="00C97DDA" w:rsidP="008A5292" w14:paraId="61E6C3E1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</w:t>
            </w: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Заявления размещена на сайте </w:t>
            </w:r>
          </w:p>
        </w:tc>
      </w:tr>
      <w:tr w14:paraId="61E6C3E4" w14:textId="77777777" w:rsidTr="001C3A9B">
        <w:tblPrEx>
          <w:tblW w:w="10518" w:type="dxa"/>
          <w:tblInd w:w="392" w:type="dxa"/>
          <w:tblLayout w:type="fixed"/>
          <w:tblLook w:val="04A0"/>
        </w:tblPrEx>
        <w:tc>
          <w:tcPr>
            <w:tcW w:w="10518" w:type="dxa"/>
            <w:gridSpan w:val="2"/>
            <w:tcMar>
              <w:left w:w="0" w:type="dxa"/>
              <w:right w:w="0" w:type="dxa"/>
            </w:tcMar>
          </w:tcPr>
          <w:p w:rsidR="003129F7" w:rsidRPr="00C97DDA" w:rsidP="003129F7" w14:paraId="61E6C3E3" w14:textId="77777777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гражданином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либо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неподписанных </w:t>
            </w:r>
            <w:r w:rsidRPr="003129F7">
              <w:rPr>
                <w:rFonts w:ascii="Arial" w:hAnsi="Arial" w:cs="Arial"/>
                <w:b/>
                <w:color w:val="FF0000"/>
                <w:sz w:val="20"/>
                <w:szCs w:val="20"/>
              </w:rPr>
              <w:t>копий</w:t>
            </w:r>
            <w:r w:rsidRPr="003129F7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 гарантирующим поставщиком их идентичности</w:t>
            </w:r>
            <w:r w:rsidRPr="003129F7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</w:t>
            </w:r>
          </w:p>
        </w:tc>
      </w:tr>
      <w:tr w14:paraId="61E6C3E9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3E5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BA082E" w:rsidRPr="00A4412F" w:rsidP="00A4412F" w14:paraId="61E6C3E6" w14:textId="77777777">
            <w:pPr>
              <w:pStyle w:val="ListParagraph"/>
              <w:tabs>
                <w:tab w:val="left" w:pos="204"/>
              </w:tabs>
              <w:autoSpaceDE w:val="0"/>
              <w:autoSpaceDN w:val="0"/>
              <w:adjustRightInd w:val="0"/>
              <w:ind w:left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4412F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6B045A" w:rsidRPr="00C97DDA" w:rsidP="00120CA1" w14:paraId="61E6C3E7" w14:textId="77777777">
            <w:pPr>
              <w:pStyle w:val="ConsPlusNormal"/>
              <w:tabs>
                <w:tab w:val="left" w:pos="204"/>
              </w:tabs>
              <w:jc w:val="both"/>
              <w:rPr>
                <w:rFonts w:ascii="Arial" w:hAnsi="Arial" w:cs="Arial"/>
              </w:rPr>
            </w:pPr>
            <w:r w:rsidRPr="00C97DDA">
              <w:rPr>
                <w:rFonts w:ascii="Arial" w:hAnsi="Arial" w:cs="Arial"/>
              </w:rPr>
              <w:t xml:space="preserve">копия паспорта гражданина Российской Федерации или иного </w:t>
            </w:r>
            <w:hyperlink r:id="rId8" w:history="1">
              <w:r w:rsidRPr="00C97DDA">
                <w:rPr>
                  <w:rFonts w:ascii="Arial" w:hAnsi="Arial" w:cs="Arial"/>
                </w:rPr>
                <w:t>документа</w:t>
              </w:r>
            </w:hyperlink>
            <w:r w:rsidRPr="00C97DDA">
              <w:rPr>
                <w:rFonts w:ascii="Arial" w:hAnsi="Arial" w:cs="Arial"/>
              </w:rPr>
              <w:t>, удостоверяющего личность</w:t>
            </w:r>
            <w:r w:rsidR="00927848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доверенность </w:t>
            </w:r>
            <w:r w:rsidRPr="00403603">
              <w:rPr>
                <w:rFonts w:ascii="Arial" w:hAnsi="Arial" w:cs="Arial"/>
              </w:rPr>
              <w:t xml:space="preserve">на подписание договора, если договор подписывает </w:t>
            </w:r>
            <w:r>
              <w:rPr>
                <w:rFonts w:ascii="Arial" w:hAnsi="Arial" w:cs="Arial"/>
              </w:rPr>
              <w:t xml:space="preserve">лицо, </w:t>
            </w:r>
            <w:r w:rsidR="00120CA1">
              <w:rPr>
                <w:rFonts w:ascii="Arial" w:hAnsi="Arial" w:cs="Arial"/>
              </w:rPr>
              <w:t xml:space="preserve">уполномоченное </w:t>
            </w:r>
            <w:r w:rsidRPr="00403603">
              <w:rPr>
                <w:rFonts w:ascii="Arial" w:hAnsi="Arial" w:cs="Arial"/>
              </w:rPr>
              <w:t>собственник</w:t>
            </w:r>
            <w:r>
              <w:rPr>
                <w:rFonts w:ascii="Arial" w:hAnsi="Arial" w:cs="Arial"/>
              </w:rPr>
              <w:t>ом.</w:t>
            </w:r>
          </w:p>
          <w:p w:rsidR="00117545" w:rsidRPr="00117545" w:rsidP="00A4412F" w14:paraId="61E6C3E8" w14:textId="77777777">
            <w:pPr>
              <w:pStyle w:val="ConsPlusNormal"/>
              <w:ind w:left="204"/>
              <w:jc w:val="both"/>
              <w:rPr>
                <w:rFonts w:ascii="Arial" w:hAnsi="Arial" w:cs="Arial"/>
                <w:i w:val="0"/>
              </w:rPr>
            </w:pPr>
          </w:p>
        </w:tc>
      </w:tr>
      <w:tr w14:paraId="61E6C3ED" w14:textId="77777777" w:rsidTr="000559FC">
        <w:tblPrEx>
          <w:tblW w:w="10518" w:type="dxa"/>
          <w:tblInd w:w="392" w:type="dxa"/>
          <w:tblLayout w:type="fixed"/>
          <w:tblLook w:val="04A0"/>
        </w:tblPrEx>
        <w:trPr>
          <w:trHeight w:val="883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3EA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BA082E" w:rsidRPr="00C97DDA" w:rsidP="00A310EF" w14:paraId="61E6C3EB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собственности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</w:t>
            </w:r>
            <w:r w:rsidRPr="0032793F">
              <w:rPr>
                <w:rFonts w:ascii="Arial" w:hAnsi="Arial" w:cs="Arial"/>
                <w:b/>
                <w:sz w:val="20"/>
                <w:szCs w:val="20"/>
              </w:rPr>
              <w:t xml:space="preserve">на </w:t>
            </w:r>
            <w:r w:rsidRPr="0032793F">
              <w:rPr>
                <w:rFonts w:ascii="Arial" w:hAnsi="Arial" w:cs="Arial"/>
                <w:b/>
                <w:sz w:val="20"/>
                <w:szCs w:val="20"/>
              </w:rPr>
              <w:t>энергопринимающие</w:t>
            </w:r>
            <w:r w:rsidRPr="0032793F">
              <w:rPr>
                <w:rFonts w:ascii="Arial" w:hAnsi="Arial" w:cs="Arial"/>
                <w:b/>
                <w:sz w:val="20"/>
                <w:szCs w:val="20"/>
              </w:rPr>
              <w:t xml:space="preserve"> устройства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A082E" w:rsidRPr="00C97DDA" w:rsidP="00BA082E" w14:paraId="61E6C3EC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2793F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93F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владения и (или) пользования земельным участком</w:t>
            </w:r>
            <w:r w:rsidRPr="00C97DDA">
              <w:rPr>
                <w:rFonts w:ascii="Arial" w:hAnsi="Arial" w:cs="Arial"/>
                <w:sz w:val="20"/>
                <w:szCs w:val="20"/>
              </w:rPr>
              <w:t>, о снабжении которых электрической энергией указано в заявлении о заключении договора</w:t>
            </w:r>
          </w:p>
        </w:tc>
      </w:tr>
      <w:tr w14:paraId="61E6C3F8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3EE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6D4558" w:rsidRPr="00415ABA" w:rsidP="006D4558" w14:paraId="61E6C3EF" w14:textId="7777777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415A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Документы, подтверждающие технологическое присоединение (в том числе и опосредованно) в установленном </w:t>
            </w:r>
            <w:hyperlink r:id="rId9" w:history="1">
              <w:r w:rsidRPr="00415ABA">
                <w:rPr>
                  <w:rStyle w:val="Hyperlink"/>
                  <w:rFonts w:ascii="Arial" w:hAnsi="Arial" w:cs="Arial"/>
                  <w:b/>
                  <w:bCs/>
                  <w:color w:val="auto"/>
                  <w:sz w:val="20"/>
                  <w:szCs w:val="20"/>
                  <w:u w:val="none"/>
                  <w:lang w:eastAsia="ru-RU"/>
                </w:rPr>
                <w:t>порядке</w:t>
              </w:r>
            </w:hyperlink>
            <w:r w:rsidRPr="00415A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 объектам электросетевого хозяйства сетевой организации </w:t>
            </w:r>
            <w:r w:rsidRPr="00415A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энергопринимающих</w:t>
            </w:r>
            <w:r w:rsidRPr="00415AB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устройств</w:t>
            </w:r>
          </w:p>
          <w:p w:rsidR="00BA082E" w:rsidRPr="00415ABA" w:rsidP="006C7C1D" w14:paraId="61E6C3F0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Акт разграничения границ балансовой принадлежности сторон (акт разграничения эксплуатационной ответственности сторон)</w:t>
            </w:r>
            <w:r w:rsidRPr="00415ABA" w:rsidR="00BE5BFE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415ABA" w:rsidR="006D455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15ABA" w:rsidR="00BE5BFE">
              <w:rPr>
                <w:rFonts w:ascii="Arial" w:hAnsi="Arial" w:cs="Arial"/>
                <w:sz w:val="20"/>
                <w:szCs w:val="20"/>
              </w:rPr>
              <w:t>А</w:t>
            </w:r>
            <w:r w:rsidRPr="00415ABA" w:rsidR="006D4558">
              <w:rPr>
                <w:rFonts w:ascii="Arial" w:hAnsi="Arial" w:cs="Arial"/>
                <w:sz w:val="20"/>
                <w:szCs w:val="20"/>
              </w:rPr>
              <w:t>кт о технологическом присоединении</w:t>
            </w:r>
            <w:r w:rsidRPr="00415ABA" w:rsidR="00CF55A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15ABA" w:rsidR="00CF55A1">
              <w:rPr>
                <w:rFonts w:ascii="Arial" w:hAnsi="Arial" w:cs="Arial"/>
                <w:b/>
                <w:sz w:val="20"/>
                <w:szCs w:val="20"/>
              </w:rPr>
              <w:t>уведомление об обеспечении сетевой организацией возможности присоединения к электрическим сетям</w:t>
            </w:r>
            <w:r w:rsidRPr="00415ABA" w:rsidR="006D45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ABA" w:rsidR="006D4558">
              <w:rPr>
                <w:rFonts w:ascii="Arial" w:hAnsi="Arial" w:cs="Arial"/>
                <w:i/>
                <w:color w:val="0070C0"/>
                <w:sz w:val="20"/>
                <w:szCs w:val="20"/>
              </w:rPr>
              <w:t>(</w:t>
            </w:r>
            <w:r w:rsidRPr="00415ABA" w:rsidR="006D4558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при его наличии</w:t>
            </w:r>
            <w:r w:rsidRPr="00415ABA" w:rsidR="006D4558">
              <w:rPr>
                <w:rFonts w:ascii="Arial" w:hAnsi="Arial" w:cs="Arial"/>
                <w:i/>
                <w:color w:val="0070C0"/>
                <w:sz w:val="20"/>
                <w:szCs w:val="20"/>
              </w:rPr>
              <w:t>)</w:t>
            </w:r>
          </w:p>
          <w:p w:rsidR="00BA082E" w:rsidRPr="00415ABA" w:rsidP="006C7C1D" w14:paraId="61E6C3F1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15ABA">
              <w:rPr>
                <w:rFonts w:ascii="Arial" w:hAnsi="Arial" w:cs="Arial"/>
                <w:b/>
                <w:sz w:val="20"/>
                <w:szCs w:val="20"/>
              </w:rPr>
              <w:t>или</w:t>
            </w:r>
          </w:p>
          <w:p w:rsidR="00DA263A" w:rsidRPr="00415ABA" w:rsidP="00BA3FCF" w14:paraId="61E6C3F2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415ABA">
              <w:rPr>
                <w:rFonts w:ascii="Arial" w:hAnsi="Arial" w:cs="Arial"/>
                <w:b/>
                <w:sz w:val="20"/>
                <w:szCs w:val="20"/>
              </w:rPr>
              <w:t>документ, подтверждающий факт обращения заявителя к сетевой организации</w:t>
            </w:r>
            <w:r w:rsidRPr="00415ABA">
              <w:rPr>
                <w:rFonts w:ascii="Arial" w:hAnsi="Arial" w:cs="Arial"/>
                <w:sz w:val="20"/>
                <w:szCs w:val="20"/>
              </w:rPr>
              <w:t xml:space="preserve"> или иному владельцу объектов электросетевого хозяйства в целях получения таких документов </w:t>
            </w:r>
            <w:r w:rsidRPr="00415ABA">
              <w:rPr>
                <w:rFonts w:ascii="Arial" w:hAnsi="Arial" w:cs="Arial"/>
                <w:i/>
                <w:sz w:val="20"/>
                <w:szCs w:val="20"/>
              </w:rPr>
              <w:t>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  <w:r w:rsidRPr="00415ABA" w:rsidR="0092784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255762" w:rsidRPr="00415ABA" w:rsidP="00BA3FCF" w14:paraId="61E6C3F3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F2AFA" w:rsidRPr="00415ABA" w:rsidP="00BA3FCF" w14:paraId="61E6C3F4" w14:textId="1C5C8F2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15ABA">
              <w:rPr>
                <w:rFonts w:ascii="Arial" w:hAnsi="Arial" w:cs="Arial"/>
                <w:i/>
                <w:sz w:val="20"/>
                <w:szCs w:val="20"/>
              </w:rPr>
              <w:t xml:space="preserve">Для </w:t>
            </w:r>
            <w:r w:rsidRPr="00415ABA">
              <w:rPr>
                <w:rFonts w:ascii="Arial" w:hAnsi="Arial" w:cs="Arial"/>
                <w:i/>
                <w:iCs/>
                <w:sz w:val="20"/>
                <w:szCs w:val="20"/>
              </w:rPr>
              <w:t>граждан, осуществляющих ведение садоводства или огородничества на земельном участке, расположенном в границах территории ведения гражданами садоводства или огородничества для собственных нужд</w:t>
            </w:r>
            <w:r w:rsidRPr="00415ABA" w:rsidR="000975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или граждан осуществляющих ведение садоводства или огородничества на земельном участке, расположенном в границах территории садоводства или огородничества, </w:t>
            </w:r>
            <w:r w:rsidRPr="00415ABA" w:rsidR="000975EC">
              <w:rPr>
                <w:rFonts w:ascii="Arial" w:hAnsi="Arial" w:cs="Arial"/>
                <w:i/>
                <w:iCs/>
                <w:sz w:val="20"/>
                <w:szCs w:val="20"/>
              </w:rPr>
              <w:t>энергопринимающие</w:t>
            </w:r>
            <w:r w:rsidRPr="00415ABA" w:rsidR="000975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устройства которых ранее были подключены к электрическим сетям в рамках  технологического присоединения некоммерческой организации, созданной гражданами для ведения садоводства, огородничества и дачного хозяйства до 1 января 2019 года (не являюще</w:t>
            </w:r>
            <w:r w:rsidRPr="00415ABA" w:rsidR="00942C30">
              <w:rPr>
                <w:rFonts w:ascii="Arial" w:hAnsi="Arial" w:cs="Arial"/>
                <w:i/>
                <w:iCs/>
                <w:sz w:val="20"/>
                <w:szCs w:val="20"/>
              </w:rPr>
              <w:t>й</w:t>
            </w:r>
            <w:r w:rsidRPr="00415ABA" w:rsidR="000975EC">
              <w:rPr>
                <w:rFonts w:ascii="Arial" w:hAnsi="Arial" w:cs="Arial"/>
                <w:i/>
                <w:iCs/>
                <w:sz w:val="20"/>
                <w:szCs w:val="20"/>
              </w:rPr>
              <w:t>ся садоводческим или огородничес</w:t>
            </w:r>
            <w:r w:rsidRPr="00415ABA" w:rsidR="00942C30">
              <w:rPr>
                <w:rFonts w:ascii="Arial" w:hAnsi="Arial" w:cs="Arial"/>
                <w:i/>
                <w:iCs/>
                <w:sz w:val="20"/>
                <w:szCs w:val="20"/>
              </w:rPr>
              <w:t>ким неком</w:t>
            </w:r>
            <w:r w:rsidRPr="00415ABA" w:rsidR="000975EC">
              <w:rPr>
                <w:rFonts w:ascii="Arial" w:hAnsi="Arial" w:cs="Arial"/>
                <w:i/>
                <w:iCs/>
                <w:sz w:val="20"/>
                <w:szCs w:val="20"/>
              </w:rPr>
              <w:t>мерческим товариществом)</w:t>
            </w:r>
            <w:r w:rsidRPr="00415ABA" w:rsidR="00942C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415ABA" w:rsidR="00942C30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при отсутствии документов, предусмотренных настоящим пунктом</w:t>
            </w:r>
            <w:r w:rsidRPr="00415ABA" w:rsidR="002B193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,</w:t>
            </w:r>
          </w:p>
          <w:p w:rsidR="002B1933" w:rsidRPr="00415ABA" w:rsidP="00BE5BFE" w14:paraId="3B643122" w14:textId="2CD470E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15ABA">
              <w:rPr>
                <w:rFonts w:ascii="Arial" w:hAnsi="Arial" w:cs="Arial"/>
                <w:b/>
                <w:iCs/>
                <w:sz w:val="20"/>
                <w:szCs w:val="20"/>
              </w:rPr>
              <w:t>д</w:t>
            </w:r>
            <w:r w:rsidRPr="00415ABA" w:rsidR="006D4558">
              <w:rPr>
                <w:rFonts w:ascii="Arial" w:hAnsi="Arial" w:cs="Arial"/>
                <w:b/>
                <w:iCs/>
                <w:sz w:val="20"/>
                <w:szCs w:val="20"/>
              </w:rPr>
              <w:t>окументы, подтверждающие наличие членства в садоводческо</w:t>
            </w:r>
            <w:r w:rsidRPr="00415ABA" w:rsidR="00D10F3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м </w:t>
            </w:r>
            <w:r w:rsidRPr="00415ABA" w:rsidR="006D4558">
              <w:rPr>
                <w:rFonts w:ascii="Arial" w:hAnsi="Arial" w:cs="Arial"/>
                <w:b/>
                <w:iCs/>
                <w:sz w:val="20"/>
                <w:szCs w:val="20"/>
              </w:rPr>
              <w:t>или огородническо</w:t>
            </w:r>
            <w:r w:rsidRPr="00415ABA" w:rsidR="00D10F38">
              <w:rPr>
                <w:rFonts w:ascii="Arial" w:hAnsi="Arial" w:cs="Arial"/>
                <w:b/>
                <w:iCs/>
                <w:sz w:val="20"/>
                <w:szCs w:val="20"/>
              </w:rPr>
              <w:t>м</w:t>
            </w:r>
            <w:r w:rsidRPr="00415ABA" w:rsidR="006D455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некоммерческо</w:t>
            </w:r>
            <w:r w:rsidRPr="00415ABA" w:rsidR="00D10F38">
              <w:rPr>
                <w:rFonts w:ascii="Arial" w:hAnsi="Arial" w:cs="Arial"/>
                <w:b/>
                <w:iCs/>
                <w:sz w:val="20"/>
                <w:szCs w:val="20"/>
              </w:rPr>
              <w:t>м</w:t>
            </w:r>
            <w:r w:rsidRPr="00415ABA" w:rsidR="006D455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товариществ</w:t>
            </w:r>
            <w:r w:rsidRPr="00415ABA" w:rsidR="00D10F38">
              <w:rPr>
                <w:rFonts w:ascii="Arial" w:hAnsi="Arial" w:cs="Arial"/>
                <w:b/>
                <w:iCs/>
                <w:sz w:val="20"/>
                <w:szCs w:val="20"/>
              </w:rPr>
              <w:t>е</w:t>
            </w:r>
            <w:r w:rsidRPr="00415ABA" w:rsidR="000975E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или некоммерческой организации</w:t>
            </w:r>
            <w:r w:rsidRPr="00415ABA" w:rsidR="006D4558">
              <w:rPr>
                <w:rFonts w:ascii="Arial" w:hAnsi="Arial" w:cs="Arial"/>
                <w:iCs/>
                <w:sz w:val="20"/>
                <w:szCs w:val="20"/>
              </w:rPr>
              <w:t xml:space="preserve"> на дату осуществления сетевой организацией мероприятий по технологическому присоединению </w:t>
            </w:r>
            <w:r w:rsidRPr="00415ABA" w:rsidR="006D4558">
              <w:rPr>
                <w:rFonts w:ascii="Arial" w:hAnsi="Arial" w:cs="Arial"/>
                <w:iCs/>
                <w:sz w:val="20"/>
                <w:szCs w:val="20"/>
              </w:rPr>
              <w:t>энергопринимающих</w:t>
            </w:r>
            <w:r w:rsidRPr="00415ABA" w:rsidR="006D4558">
              <w:rPr>
                <w:rFonts w:ascii="Arial" w:hAnsi="Arial" w:cs="Arial"/>
                <w:iCs/>
                <w:sz w:val="20"/>
                <w:szCs w:val="20"/>
              </w:rPr>
              <w:t xml:space="preserve"> устройств, пр</w:t>
            </w:r>
            <w:r w:rsidRPr="00415ABA" w:rsidR="00D10F38">
              <w:rPr>
                <w:rFonts w:ascii="Arial" w:hAnsi="Arial" w:cs="Arial"/>
                <w:iCs/>
                <w:sz w:val="20"/>
                <w:szCs w:val="20"/>
              </w:rPr>
              <w:t>инадлежащих такому товариществу</w:t>
            </w:r>
            <w:r w:rsidRPr="00415ABA" w:rsidR="000975EC">
              <w:rPr>
                <w:rFonts w:ascii="Arial" w:hAnsi="Arial" w:cs="Arial"/>
                <w:iCs/>
                <w:sz w:val="20"/>
                <w:szCs w:val="20"/>
              </w:rPr>
              <w:t>, некоммерческой организации</w:t>
            </w:r>
            <w:r w:rsidRPr="00415AB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415ABA" w:rsidR="00D10F38">
              <w:rPr>
                <w:rFonts w:ascii="Arial" w:hAnsi="Arial" w:cs="Arial"/>
                <w:iCs/>
                <w:sz w:val="20"/>
                <w:szCs w:val="20"/>
              </w:rPr>
              <w:t xml:space="preserve">или иные </w:t>
            </w:r>
          </w:p>
          <w:p w:rsidR="006D4558" w:rsidRPr="00415ABA" w:rsidP="00BE5BFE" w14:paraId="61E6C3F7" w14:textId="7E591A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15AB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документы, подтверждающие наличие фактического технологического присоединения </w:t>
            </w:r>
            <w:r w:rsidRPr="00415ABA">
              <w:rPr>
                <w:rFonts w:ascii="Arial" w:hAnsi="Arial" w:cs="Arial"/>
                <w:b/>
                <w:iCs/>
                <w:sz w:val="20"/>
                <w:szCs w:val="20"/>
              </w:rPr>
              <w:t>энергопринимающих</w:t>
            </w:r>
            <w:r w:rsidRPr="00415ABA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устройств заявителя к объе</w:t>
            </w:r>
            <w:r w:rsidRPr="00415ABA" w:rsidR="00BE5BFE">
              <w:rPr>
                <w:rFonts w:ascii="Arial" w:hAnsi="Arial" w:cs="Arial"/>
                <w:b/>
                <w:iCs/>
                <w:sz w:val="20"/>
                <w:szCs w:val="20"/>
              </w:rPr>
              <w:t>ктам электросетевого хозяйства.</w:t>
            </w:r>
          </w:p>
        </w:tc>
      </w:tr>
      <w:tr w14:paraId="61E6C403" w14:textId="77777777" w:rsidTr="000559FC">
        <w:tblPrEx>
          <w:tblW w:w="10518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3F9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CA4891" w:rsidRPr="00415ABA" w:rsidP="00C1573F" w14:paraId="61E6C3FA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415ABA">
              <w:rPr>
                <w:rFonts w:ascii="Arial" w:hAnsi="Arial" w:cs="Arial"/>
                <w:b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  <w:r w:rsidRPr="00415AB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2    </w:t>
            </w:r>
          </w:p>
          <w:p w:rsidR="0032793F" w:rsidRPr="00415ABA" w:rsidP="0032793F" w14:paraId="61E6C3FB" w14:textId="7777777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6D4558" w:rsidRPr="00415ABA" w:rsidP="008A5292" w14:paraId="61E6C3FC" w14:textId="34A7061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Дополнительно </w:t>
            </w:r>
            <w:r w:rsidRPr="00415ABA">
              <w:rPr>
                <w:rFonts w:ascii="Arial" w:hAnsi="Arial" w:cs="Arial"/>
                <w:b/>
                <w:sz w:val="20"/>
                <w:szCs w:val="20"/>
              </w:rPr>
              <w:t>Акт снятия показаний прибора учета/Акт проверки прибора учета</w:t>
            </w:r>
            <w:r w:rsidRPr="00415ABA" w:rsidR="00942C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5ABA">
              <w:rPr>
                <w:rFonts w:ascii="Arial" w:hAnsi="Arial" w:cs="Arial"/>
                <w:sz w:val="20"/>
                <w:szCs w:val="20"/>
              </w:rPr>
              <w:t>(иной док</w:t>
            </w:r>
            <w:r w:rsidRPr="00415ABA" w:rsidR="00942C30">
              <w:rPr>
                <w:rFonts w:ascii="Arial" w:hAnsi="Arial" w:cs="Arial"/>
                <w:sz w:val="20"/>
                <w:szCs w:val="20"/>
              </w:rPr>
              <w:t xml:space="preserve">умент, содержащий информацию о </w:t>
            </w:r>
            <w:r w:rsidRPr="00415ABA">
              <w:rPr>
                <w:rFonts w:ascii="Arial" w:hAnsi="Arial" w:cs="Arial"/>
                <w:sz w:val="20"/>
                <w:szCs w:val="20"/>
              </w:rPr>
              <w:t>начальных показаниях приборов учета</w:t>
            </w:r>
            <w:r w:rsidRPr="00415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ABA">
              <w:rPr>
                <w:rFonts w:ascii="Arial" w:hAnsi="Arial" w:cs="Arial"/>
                <w:sz w:val="20"/>
                <w:szCs w:val="20"/>
              </w:rPr>
              <w:t xml:space="preserve">(на дату начала исполнения договора).  </w:t>
            </w:r>
          </w:p>
          <w:p w:rsidR="006D4558" w:rsidRPr="00415ABA" w:rsidP="006D4558" w14:paraId="61E6C3FD" w14:textId="568B43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15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Показания приборов учета на дату перехода права собственности на </w:t>
            </w:r>
            <w:r w:rsidRPr="00415ABA">
              <w:rPr>
                <w:rFonts w:ascii="Arial" w:hAnsi="Arial" w:cs="Arial"/>
                <w:sz w:val="20"/>
                <w:szCs w:val="20"/>
                <w:lang w:eastAsia="ru-RU"/>
              </w:rPr>
              <w:t>энергопринимающее</w:t>
            </w:r>
            <w:r w:rsidRPr="00415AB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устройство, подписанные предыдущим собственником </w:t>
            </w:r>
            <w:r w:rsidRPr="00415ABA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(в случае направления заявления о заклю</w:t>
            </w:r>
            <w:r w:rsidRPr="00415ABA" w:rsidR="00942C30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чении договора энергоснабжения </w:t>
            </w:r>
            <w:r w:rsidRPr="00415ABA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при смене собственника </w:t>
            </w:r>
            <w:r w:rsidRPr="00415ABA">
              <w:rPr>
                <w:rFonts w:ascii="Arial" w:hAnsi="Arial" w:cs="Arial"/>
                <w:i/>
                <w:sz w:val="20"/>
                <w:szCs w:val="20"/>
                <w:lang w:eastAsia="ru-RU"/>
              </w:rPr>
              <w:t>энергопринимающего</w:t>
            </w:r>
            <w:r w:rsidRPr="00415ABA">
              <w:rPr>
                <w:rFonts w:ascii="Arial" w:hAnsi="Arial" w:cs="Arial"/>
                <w:i/>
                <w:sz w:val="20"/>
                <w:szCs w:val="20"/>
                <w:lang w:eastAsia="ru-RU"/>
              </w:rPr>
              <w:t xml:space="preserve"> устройства)</w:t>
            </w:r>
          </w:p>
          <w:p w:rsidR="0032793F" w:rsidRPr="00415ABA" w:rsidP="008A5292" w14:paraId="61E6C3F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15ABA">
              <w:rPr>
                <w:rFonts w:ascii="Arial" w:hAnsi="Arial" w:cs="Arial"/>
                <w:sz w:val="20"/>
                <w:szCs w:val="20"/>
                <w:u w:val="single"/>
              </w:rPr>
              <w:t>Данный документ предоставляется дополнительно</w:t>
            </w:r>
            <w:r w:rsidRPr="00415ABA">
              <w:rPr>
                <w:rFonts w:ascii="Arial" w:hAnsi="Arial" w:cs="Arial"/>
                <w:sz w:val="20"/>
                <w:szCs w:val="20"/>
              </w:rPr>
              <w:t xml:space="preserve"> только в случае, если </w:t>
            </w:r>
          </w:p>
          <w:p w:rsidR="0032793F" w:rsidRPr="00415ABA" w:rsidP="008D0A17" w14:paraId="61E6C3FF" w14:textId="101578C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sz w:val="20"/>
                <w:szCs w:val="20"/>
              </w:rPr>
              <w:t>в Акте допуск</w:t>
            </w:r>
            <w:r w:rsidRPr="00415ABA" w:rsidR="00942C30">
              <w:rPr>
                <w:rFonts w:ascii="Arial" w:hAnsi="Arial" w:cs="Arial"/>
                <w:sz w:val="20"/>
                <w:szCs w:val="20"/>
              </w:rPr>
              <w:t xml:space="preserve">а прибора учета в эксплуатацию отсутствуют данные о </w:t>
            </w:r>
            <w:r w:rsidRPr="00415ABA">
              <w:rPr>
                <w:rFonts w:ascii="Arial" w:hAnsi="Arial" w:cs="Arial"/>
                <w:sz w:val="20"/>
                <w:szCs w:val="20"/>
              </w:rPr>
              <w:t>начальных показаниях приборов учета</w:t>
            </w:r>
            <w:r w:rsidRPr="00415A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5ABA">
              <w:rPr>
                <w:rFonts w:ascii="Arial" w:hAnsi="Arial" w:cs="Arial"/>
                <w:sz w:val="20"/>
                <w:szCs w:val="20"/>
              </w:rPr>
              <w:t>(на да</w:t>
            </w:r>
            <w:r w:rsidRPr="00415ABA" w:rsidR="00942C30">
              <w:rPr>
                <w:rFonts w:ascii="Arial" w:hAnsi="Arial" w:cs="Arial"/>
                <w:sz w:val="20"/>
                <w:szCs w:val="20"/>
              </w:rPr>
              <w:t xml:space="preserve">ту начала исполнения договора) или иные сведения, </w:t>
            </w:r>
            <w:r w:rsidRPr="00415ABA">
              <w:rPr>
                <w:rFonts w:ascii="Arial" w:hAnsi="Arial" w:cs="Arial"/>
                <w:sz w:val="20"/>
                <w:szCs w:val="20"/>
              </w:rPr>
              <w:t xml:space="preserve">содержащие описание приборов </w:t>
            </w:r>
            <w:r w:rsidRPr="00415ABA">
              <w:rPr>
                <w:rFonts w:ascii="Arial" w:hAnsi="Arial" w:cs="Arial"/>
                <w:sz w:val="20"/>
                <w:szCs w:val="20"/>
              </w:rPr>
              <w:t>учета</w:t>
            </w:r>
            <w:r w:rsidRPr="00415A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415ABA">
              <w:rPr>
                <w:rFonts w:ascii="Arial" w:hAnsi="Arial" w:cs="Arial"/>
                <w:sz w:val="20"/>
                <w:szCs w:val="20"/>
              </w:rPr>
              <w:t>(</w:t>
            </w:r>
            <w:r w:rsidRPr="00415ABA">
              <w:rPr>
                <w:rFonts w:ascii="Arial" w:hAnsi="Arial" w:cs="Arial"/>
                <w:sz w:val="20"/>
                <w:szCs w:val="20"/>
              </w:rPr>
              <w:t xml:space="preserve">типов приборов учета и их классов точности, мест их установки, заводских номеров, даты предыдущей и очередной государственной поверки, </w:t>
            </w:r>
            <w:r w:rsidRPr="00415ABA">
              <w:rPr>
                <w:rFonts w:ascii="Arial" w:hAnsi="Arial" w:cs="Arial"/>
                <w:sz w:val="20"/>
                <w:szCs w:val="20"/>
              </w:rPr>
              <w:t>межповерочного</w:t>
            </w:r>
            <w:r w:rsidRPr="00415ABA">
              <w:rPr>
                <w:rFonts w:ascii="Arial" w:hAnsi="Arial" w:cs="Arial"/>
                <w:sz w:val="20"/>
                <w:szCs w:val="20"/>
              </w:rPr>
              <w:t xml:space="preserve"> интервала).</w:t>
            </w:r>
          </w:p>
          <w:p w:rsidR="0032793F" w:rsidRPr="00415ABA" w:rsidP="008D0A17" w14:paraId="61E6C400" w14:textId="032BC341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942C30" w:rsidRPr="00415ABA" w:rsidP="00942C30" w14:paraId="6CAC2958" w14:textId="05DD784B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15ABA">
              <w:rPr>
                <w:rFonts w:ascii="Arial" w:hAnsi="Arial" w:cs="Arial"/>
                <w:i/>
                <w:sz w:val="20"/>
                <w:szCs w:val="20"/>
              </w:rPr>
              <w:t xml:space="preserve">Для </w:t>
            </w:r>
            <w:r w:rsidRPr="00415A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граждан, осуществляющих ведение садоводства или огородничества на земельном участке, расположенном в границах территории ведения гражданами садоводства или огородничества для собственных нужд, или граждан осуществляющих ведение садоводства или огородничества на земельном участке, расположенном в границах территории садоводства или огородничества, </w:t>
            </w:r>
            <w:r w:rsidRPr="00415ABA">
              <w:rPr>
                <w:rFonts w:ascii="Arial" w:hAnsi="Arial" w:cs="Arial"/>
                <w:i/>
                <w:iCs/>
                <w:sz w:val="20"/>
                <w:szCs w:val="20"/>
              </w:rPr>
              <w:t>энергопринимающие</w:t>
            </w:r>
            <w:r w:rsidRPr="00415AB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устройства которых ранее были подключены к электрическим сетям в рамках  технологического присоединения некоммерческой организации, созданной гражданами для ведения садоводства, огородничества и дачного хозяйства до 1 января 2019 года (не являющейся садоводческим или огородническим некоммерческим товариществом), </w:t>
            </w:r>
            <w:r w:rsidRPr="00415AB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при отсутствии документов, предусмотренных настоящим пунктом</w:t>
            </w:r>
            <w:r w:rsidRPr="00415ABA" w:rsidR="002B1933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,</w:t>
            </w:r>
          </w:p>
          <w:p w:rsidR="00942C30" w:rsidRPr="00415ABA" w:rsidP="00942C30" w14:paraId="3B09FA69" w14:textId="2776711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15ABA">
              <w:rPr>
                <w:rFonts w:ascii="Arial" w:hAnsi="Arial" w:cs="Arial"/>
                <w:b/>
                <w:sz w:val="20"/>
                <w:szCs w:val="20"/>
              </w:rPr>
              <w:t>с</w:t>
            </w:r>
            <w:r w:rsidRPr="00415ABA">
              <w:rPr>
                <w:rFonts w:ascii="Arial" w:hAnsi="Arial" w:cs="Arial"/>
                <w:b/>
                <w:sz w:val="20"/>
                <w:szCs w:val="20"/>
              </w:rPr>
              <w:t>ведения об установленных приборах учета - тип, заводской номер, класс точности, показания на дату подачи заявления о заключении договора.</w:t>
            </w:r>
          </w:p>
          <w:p w:rsidR="00942C30" w:rsidRPr="00415ABA" w:rsidP="008D0A17" w14:paraId="0BA89C5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D0A17" w:rsidRPr="00415ABA" w:rsidP="008D0A17" w14:paraId="61E6C401" w14:textId="0EA5D9F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415ABA">
              <w:rPr>
                <w:rFonts w:ascii="Arial" w:hAnsi="Arial" w:cs="Arial"/>
                <w:i/>
                <w:sz w:val="20"/>
                <w:szCs w:val="20"/>
              </w:rPr>
              <w:t>При непредставлении заявителем подтвержденных данных о начальных показаниях приборов учета</w:t>
            </w:r>
            <w:r w:rsidRPr="00415A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15ABA">
              <w:rPr>
                <w:rFonts w:ascii="Arial" w:hAnsi="Arial" w:cs="Arial"/>
                <w:i/>
                <w:sz w:val="20"/>
                <w:szCs w:val="20"/>
              </w:rPr>
              <w:t>(на дату начала исполнения договора) гарантирующим поставщиком (сетевой организацией) будет проведено контрольное снятие показаний приборов учета.</w:t>
            </w:r>
            <w:r w:rsidRPr="00415AB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415ABA">
              <w:rPr>
                <w:rFonts w:ascii="Arial" w:hAnsi="Arial" w:cs="Arial"/>
                <w:i/>
                <w:sz w:val="20"/>
                <w:szCs w:val="20"/>
              </w:rPr>
              <w:t>Заявитель обязан обеспечить допуск (если он потребуется) представителя гарантирующего поставщика (сетевой организации) для контрольного снятия показаний приборов учета.</w:t>
            </w:r>
          </w:p>
          <w:p w:rsidR="00BA082E" w:rsidRPr="00415ABA" w:rsidP="008D0A17" w14:paraId="61E6C402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15AB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предоставляются при наличии у заявителя приборов учета</w:t>
            </w:r>
            <w:bookmarkStart w:id="0" w:name="_GoBack"/>
            <w:bookmarkEnd w:id="0"/>
          </w:p>
        </w:tc>
      </w:tr>
      <w:tr w14:paraId="61E6C407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404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1C0EC1" w:rsidRPr="00C97DDA" w:rsidP="00BE4381" w14:paraId="61E6C405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Акт согласования технологической и (или) аварийной брони</w:t>
            </w:r>
            <w:r w:rsidRPr="00C97D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  <w:p w:rsidR="00BA082E" w:rsidRPr="00C97DDA" w:rsidP="00865753" w14:paraId="61E6C406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при его наличии у заявителя</w:t>
            </w:r>
          </w:p>
        </w:tc>
      </w:tr>
      <w:tr w14:paraId="61E6C40A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408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BA082E" w:rsidRPr="00C97DDA" w:rsidP="00BA082E" w14:paraId="61E6C409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Однолинейная схема электрической сети 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заявителя с указанием точек присоединения к объектам электросетевого хозяйства и с распределением по точкам поставки величины максимальной мощности </w:t>
            </w:r>
            <w:r w:rsidRPr="00C97DDA">
              <w:rPr>
                <w:rFonts w:ascii="Arial" w:hAnsi="Arial" w:cs="Arial"/>
                <w:sz w:val="20"/>
                <w:szCs w:val="20"/>
              </w:rPr>
              <w:t>энергопринимающих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устройств</w:t>
            </w:r>
          </w:p>
        </w:tc>
      </w:tr>
      <w:tr w14:paraId="61E6C40C" w14:textId="77777777" w:rsidTr="0042413F">
        <w:tblPrEx>
          <w:tblW w:w="10518" w:type="dxa"/>
          <w:tblInd w:w="392" w:type="dxa"/>
          <w:tblLayout w:type="fixed"/>
          <w:tblLook w:val="04A0"/>
        </w:tblPrEx>
        <w:tc>
          <w:tcPr>
            <w:tcW w:w="10518" w:type="dxa"/>
            <w:gridSpan w:val="2"/>
            <w:tcMar>
              <w:left w:w="0" w:type="dxa"/>
              <w:right w:w="0" w:type="dxa"/>
            </w:tcMar>
          </w:tcPr>
          <w:p w:rsidR="0032793F" w:rsidRPr="00BA379D" w:rsidP="0032793F" w14:paraId="61E6C40B" w14:textId="7777777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A379D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оригиналов, подписанных гражданином</w:t>
            </w:r>
          </w:p>
        </w:tc>
      </w:tr>
      <w:tr w14:paraId="61E6C411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BA082E" w:rsidRPr="00C97DDA" w:rsidP="00120CA1" w14:paraId="61E6C40D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01C03" w:rsidRPr="00C97DDA" w:rsidP="00865753" w14:paraId="61E6C40E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энергоснабжения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или</w:t>
            </w:r>
            <w:r w:rsidRPr="00C97DDA">
              <w:rPr>
                <w:rFonts w:ascii="Arial" w:hAnsi="Arial" w:cs="Arial"/>
              </w:rPr>
              <w:t xml:space="preserve"> 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протокол разногласий к </w:t>
            </w:r>
            <w:r>
              <w:rPr>
                <w:rFonts w:ascii="Arial" w:hAnsi="Arial" w:cs="Arial"/>
                <w:sz w:val="20"/>
                <w:szCs w:val="20"/>
              </w:rPr>
              <w:t>проекту договора</w:t>
            </w:r>
            <w:r w:rsidRPr="00C97DDA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BA379D" w:rsidP="00301C03" w14:paraId="61E6C40F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BA082E" w:rsidRPr="00C97DDA" w:rsidP="00BA379D" w14:paraId="61E6C410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форма 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договора энергоснабжения </w:t>
            </w: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размещена на сайте</w:t>
            </w:r>
            <w:r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</w:p>
        </w:tc>
      </w:tr>
      <w:tr w14:paraId="61E6C415" w14:textId="77777777" w:rsidTr="000559FC">
        <w:tblPrEx>
          <w:tblW w:w="10518" w:type="dxa"/>
          <w:tblInd w:w="392" w:type="dxa"/>
          <w:tblLayout w:type="fixed"/>
          <w:tblLook w:val="04A0"/>
        </w:tblPrEx>
        <w:tc>
          <w:tcPr>
            <w:tcW w:w="425" w:type="dxa"/>
            <w:tcMar>
              <w:left w:w="0" w:type="dxa"/>
              <w:right w:w="0" w:type="dxa"/>
            </w:tcMar>
          </w:tcPr>
          <w:p w:rsidR="005E43F8" w:rsidRPr="00C97DDA" w:rsidP="00120CA1" w14:paraId="61E6C412" w14:textId="77777777">
            <w:pPr>
              <w:pStyle w:val="ListParagraph"/>
              <w:numPr>
                <w:ilvl w:val="0"/>
                <w:numId w:val="2"/>
              </w:numPr>
              <w:tabs>
                <w:tab w:val="left" w:pos="167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93" w:type="dxa"/>
          </w:tcPr>
          <w:p w:rsidR="00301C03" w:rsidRPr="00C97DDA" w:rsidP="005E43F8" w14:paraId="61E6C413" w14:textId="7777777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                                                                                               </w:t>
            </w:r>
          </w:p>
          <w:p w:rsidR="00BA379D" w:rsidRPr="00C97DDA" w:rsidP="00927848" w14:paraId="61E6C414" w14:textId="77777777">
            <w:pPr>
              <w:autoSpaceDE w:val="0"/>
              <w:autoSpaceDN w:val="0"/>
              <w:adjustRightInd w:val="0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C97D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7D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</w:tc>
      </w:tr>
    </w:tbl>
    <w:p w:rsidR="004B5374" w:rsidP="00301C03" w14:paraId="61E6C416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Calibri" w:hAnsi="Calibri" w:cs="Calibri"/>
          <w:sz w:val="20"/>
          <w:szCs w:val="20"/>
        </w:rPr>
      </w:pPr>
    </w:p>
    <w:sectPr w:rsidSect="00301C03">
      <w:footerReference w:type="even" r:id="rId10"/>
      <w:footerReference w:type="first" r:id="rId11"/>
      <w:pgSz w:w="11906" w:h="16838"/>
      <w:pgMar w:top="426" w:right="566" w:bottom="284" w:left="426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11B" w14:paraId="61E6C419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721" style="width:172pt;height:14pt;margin-top:0;margin-left:0;mso-position-horizontal:left;position:absolute;z-index:251658240" fillcolor="#919191" strokecolor="#919191">
          <v:textpath style="font-family:'Microsoft Sans Serif';font-size:14pt" string="Рег. номер WSSDOCS: Пр-В-2016-0116,  ID:548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011B" w14:paraId="61E6C41A" w14:textId="77777777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2721" style="width:172pt;height:14pt;margin-top:0;margin-left:0;mso-position-horizontal:left;position:absolute;z-index:251659264" fillcolor="#919191" strokecolor="#919191">
          <v:textpath style="font-family:'Microsoft Sans Serif';font-size:14pt" string="Рег. номер WSSDOCS: Пр-В-2016-0116,  ID:548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739F1" w:rsidP="007F113D" w14:paraId="1EAE848C" w14:textId="77777777">
      <w:pPr>
        <w:spacing w:after="0" w:line="240" w:lineRule="auto"/>
      </w:pPr>
      <w:r>
        <w:separator/>
      </w:r>
    </w:p>
  </w:footnote>
  <w:footnote w:type="continuationSeparator" w:id="1">
    <w:p w:rsidR="001739F1" w:rsidP="007F113D" w14:paraId="62BFF699" w14:textId="77777777">
      <w:pPr>
        <w:spacing w:after="0" w:line="240" w:lineRule="auto"/>
      </w:pPr>
      <w:r>
        <w:continuationSeparator/>
      </w:r>
    </w:p>
  </w:footnote>
  <w:footnote w:id="2">
    <w:p w:rsidR="00D311BC" w:rsidRPr="00E32D01" w:rsidP="002B1933" w14:paraId="61E6C41D" w14:textId="77777777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C97DDA">
        <w:rPr>
          <w:rStyle w:val="FootnoteReference"/>
          <w:rFonts w:ascii="Arial" w:hAnsi="Arial" w:cs="Arial"/>
          <w:sz w:val="14"/>
          <w:szCs w:val="14"/>
        </w:rPr>
        <w:footnoteRef/>
      </w:r>
      <w:r w:rsidRPr="00C97DDA">
        <w:rPr>
          <w:rFonts w:ascii="Arial" w:hAnsi="Arial" w:cs="Arial"/>
          <w:sz w:val="14"/>
          <w:szCs w:val="14"/>
        </w:rPr>
        <w:t xml:space="preserve"> </w:t>
      </w:r>
      <w:r w:rsidRPr="00E32D01">
        <w:rPr>
          <w:rFonts w:ascii="Arial" w:hAnsi="Arial" w:cs="Arial"/>
          <w:sz w:val="12"/>
          <w:szCs w:val="12"/>
        </w:rPr>
        <w:t>Основные положения функционирования розничных рынков электрической энергии, утв. Постановлением Правительства РФ от 04.05.2012 № 442</w:t>
      </w:r>
    </w:p>
  </w:footnote>
  <w:footnote w:id="3">
    <w:p w:rsidR="00E32D01" w:rsidRPr="00E32D01" w:rsidP="002B1933" w14:paraId="61E6C41E" w14:textId="77777777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E32D01">
        <w:rPr>
          <w:rStyle w:val="FootnoteReference"/>
          <w:rFonts w:ascii="Arial" w:hAnsi="Arial" w:cs="Arial"/>
          <w:sz w:val="12"/>
          <w:szCs w:val="12"/>
        </w:rPr>
        <w:footnoteRef/>
      </w:r>
      <w:r w:rsidRPr="00E32D01">
        <w:rPr>
          <w:rFonts w:ascii="Arial" w:hAnsi="Arial" w:cs="Arial"/>
          <w:sz w:val="12"/>
          <w:szCs w:val="12"/>
        </w:rPr>
        <w:t xml:space="preserve"> Примен</w:t>
      </w:r>
      <w:r>
        <w:rPr>
          <w:rFonts w:ascii="Arial" w:hAnsi="Arial" w:cs="Arial"/>
          <w:sz w:val="12"/>
          <w:szCs w:val="12"/>
        </w:rPr>
        <w:t>я</w:t>
      </w:r>
      <w:r w:rsidRPr="00E32D01">
        <w:rPr>
          <w:rFonts w:ascii="Arial" w:hAnsi="Arial" w:cs="Arial"/>
          <w:sz w:val="12"/>
          <w:szCs w:val="12"/>
        </w:rPr>
        <w:t>ется в отношении следующих категорий потребителей:</w:t>
      </w:r>
    </w:p>
    <w:p w:rsidR="00E32D01" w:rsidRPr="00E32D01" w:rsidP="002B1933" w14:paraId="61E6C41F" w14:textId="77777777">
      <w:pPr>
        <w:pStyle w:val="FootnoteText"/>
        <w:tabs>
          <w:tab w:val="left" w:pos="142"/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E32D01">
        <w:rPr>
          <w:rFonts w:ascii="Arial" w:hAnsi="Arial" w:cs="Arial"/>
          <w:sz w:val="12"/>
          <w:szCs w:val="12"/>
        </w:rPr>
        <w:t>•</w:t>
      </w:r>
      <w:r w:rsidRPr="00E32D01">
        <w:rPr>
          <w:rFonts w:ascii="Arial" w:hAnsi="Arial" w:cs="Arial"/>
          <w:sz w:val="12"/>
          <w:szCs w:val="12"/>
        </w:rPr>
        <w:tab/>
        <w:t xml:space="preserve">юридические лица или индивидуальные предприниматели - владельцы </w:t>
      </w:r>
      <w:r w:rsidRPr="00E32D01">
        <w:rPr>
          <w:rFonts w:ascii="Arial" w:hAnsi="Arial" w:cs="Arial"/>
          <w:sz w:val="12"/>
          <w:szCs w:val="12"/>
        </w:rPr>
        <w:t>энергопринимающих</w:t>
      </w:r>
      <w:r w:rsidRPr="00E32D01">
        <w:rPr>
          <w:rFonts w:ascii="Arial" w:hAnsi="Arial" w:cs="Arial"/>
          <w:sz w:val="12"/>
          <w:szCs w:val="12"/>
        </w:rPr>
        <w:t xml:space="preserve"> устройств второй или третьей категории надежности, максимальная мощность которых составляет до 150 кВт включительно;</w:t>
      </w:r>
    </w:p>
    <w:p w:rsidR="00E32D01" w:rsidRPr="00E32D01" w:rsidP="002B1933" w14:paraId="61E6C420" w14:textId="77777777">
      <w:pPr>
        <w:pStyle w:val="FootnoteText"/>
        <w:tabs>
          <w:tab w:val="left" w:pos="142"/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E32D01">
        <w:rPr>
          <w:rFonts w:ascii="Arial" w:hAnsi="Arial" w:cs="Arial"/>
          <w:sz w:val="12"/>
          <w:szCs w:val="12"/>
        </w:rPr>
        <w:t>•</w:t>
      </w:r>
      <w:r w:rsidRPr="00E32D01">
        <w:rPr>
          <w:rFonts w:ascii="Arial" w:hAnsi="Arial" w:cs="Arial"/>
          <w:sz w:val="12"/>
          <w:szCs w:val="12"/>
        </w:rPr>
        <w:tab/>
        <w:t xml:space="preserve">юридические лица или индивидуальные предприниматели - владельцы объектов </w:t>
      </w:r>
      <w:r w:rsidRPr="00E32D01">
        <w:rPr>
          <w:rFonts w:ascii="Arial" w:hAnsi="Arial" w:cs="Arial"/>
          <w:sz w:val="12"/>
          <w:szCs w:val="12"/>
        </w:rPr>
        <w:t>микрогенерации</w:t>
      </w:r>
      <w:r w:rsidRPr="00E32D01">
        <w:rPr>
          <w:rFonts w:ascii="Arial" w:hAnsi="Arial" w:cs="Arial"/>
          <w:sz w:val="12"/>
          <w:szCs w:val="12"/>
        </w:rPr>
        <w:t xml:space="preserve">, присоединяемых к объектам электросетевого хозяйства с уровнем напряжения до 1000 </w:t>
      </w:r>
      <w:r w:rsidRPr="00E32D01">
        <w:rPr>
          <w:rFonts w:ascii="Arial" w:hAnsi="Arial" w:cs="Arial"/>
          <w:sz w:val="12"/>
          <w:szCs w:val="12"/>
        </w:rPr>
        <w:t>В</w:t>
      </w:r>
      <w:r w:rsidRPr="00E32D01">
        <w:rPr>
          <w:rFonts w:ascii="Arial" w:hAnsi="Arial" w:cs="Arial"/>
          <w:sz w:val="12"/>
          <w:szCs w:val="12"/>
        </w:rPr>
        <w:t>;</w:t>
      </w:r>
    </w:p>
    <w:p w:rsidR="00E32D01" w:rsidRPr="00E32D01" w:rsidP="002B1933" w14:paraId="61E6C421" w14:textId="77777777">
      <w:pPr>
        <w:pStyle w:val="FootnoteText"/>
        <w:tabs>
          <w:tab w:val="left" w:pos="142"/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E32D01">
        <w:rPr>
          <w:rFonts w:ascii="Arial" w:hAnsi="Arial" w:cs="Arial"/>
          <w:sz w:val="12"/>
          <w:szCs w:val="12"/>
        </w:rPr>
        <w:t>•</w:t>
      </w:r>
      <w:r w:rsidRPr="00E32D01">
        <w:rPr>
          <w:rFonts w:ascii="Arial" w:hAnsi="Arial" w:cs="Arial"/>
          <w:sz w:val="12"/>
          <w:szCs w:val="12"/>
        </w:rPr>
        <w:tab/>
        <w:t xml:space="preserve">юридические лица или индивидуальные предприниматели - владельцы </w:t>
      </w:r>
      <w:r w:rsidRPr="00E32D01">
        <w:rPr>
          <w:rFonts w:ascii="Arial" w:hAnsi="Arial" w:cs="Arial"/>
          <w:sz w:val="12"/>
          <w:szCs w:val="12"/>
        </w:rPr>
        <w:t>энергопринимающих</w:t>
      </w:r>
      <w:r w:rsidRPr="00E32D01">
        <w:rPr>
          <w:rFonts w:ascii="Arial" w:hAnsi="Arial" w:cs="Arial"/>
          <w:sz w:val="12"/>
          <w:szCs w:val="12"/>
        </w:rPr>
        <w:t xml:space="preserve"> устройств, максимальная мощность которых составляет до 150 кВт включительно, электроснабжение которых предусматривается по одному источнику, и объектов </w:t>
      </w:r>
      <w:r w:rsidRPr="00E32D01">
        <w:rPr>
          <w:rFonts w:ascii="Arial" w:hAnsi="Arial" w:cs="Arial"/>
          <w:sz w:val="12"/>
          <w:szCs w:val="12"/>
        </w:rPr>
        <w:t>микрогенерации</w:t>
      </w:r>
      <w:r w:rsidRPr="00E32D01">
        <w:rPr>
          <w:rFonts w:ascii="Arial" w:hAnsi="Arial" w:cs="Arial"/>
          <w:sz w:val="12"/>
          <w:szCs w:val="12"/>
        </w:rPr>
        <w:t xml:space="preserve">, присоединяемых к объектам электросетевого хозяйства с уровнем напряжения до 1000 </w:t>
      </w:r>
      <w:r w:rsidRPr="00E32D01">
        <w:rPr>
          <w:rFonts w:ascii="Arial" w:hAnsi="Arial" w:cs="Arial"/>
          <w:sz w:val="12"/>
          <w:szCs w:val="12"/>
        </w:rPr>
        <w:t>В</w:t>
      </w:r>
      <w:r w:rsidRPr="00E32D01">
        <w:rPr>
          <w:rFonts w:ascii="Arial" w:hAnsi="Arial" w:cs="Arial"/>
          <w:sz w:val="12"/>
          <w:szCs w:val="12"/>
        </w:rPr>
        <w:t>;</w:t>
      </w:r>
    </w:p>
    <w:p w:rsidR="00E32D01" w:rsidRPr="00E32D01" w:rsidP="002B1933" w14:paraId="61E6C422" w14:textId="77777777">
      <w:pPr>
        <w:pStyle w:val="FootnoteText"/>
        <w:tabs>
          <w:tab w:val="left" w:pos="142"/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E32D01">
        <w:rPr>
          <w:rFonts w:ascii="Arial" w:hAnsi="Arial" w:cs="Arial"/>
          <w:sz w:val="12"/>
          <w:szCs w:val="12"/>
        </w:rPr>
        <w:t>•</w:t>
      </w:r>
      <w:r w:rsidRPr="00E32D01">
        <w:rPr>
          <w:rFonts w:ascii="Arial" w:hAnsi="Arial" w:cs="Arial"/>
          <w:sz w:val="12"/>
          <w:szCs w:val="12"/>
        </w:rPr>
        <w:tab/>
        <w:t xml:space="preserve">физические лица - владельцы объекта </w:t>
      </w:r>
      <w:r w:rsidRPr="00E32D01">
        <w:rPr>
          <w:rFonts w:ascii="Arial" w:hAnsi="Arial" w:cs="Arial"/>
          <w:sz w:val="12"/>
          <w:szCs w:val="12"/>
        </w:rPr>
        <w:t>микрогенерации</w:t>
      </w:r>
      <w:r w:rsidRPr="00E32D01">
        <w:rPr>
          <w:rFonts w:ascii="Arial" w:hAnsi="Arial" w:cs="Arial"/>
          <w:sz w:val="12"/>
          <w:szCs w:val="12"/>
        </w:rPr>
        <w:t xml:space="preserve">, присоединяемого к объектам электросетевого хозяйства с уровнем напряжения до 1000 </w:t>
      </w:r>
      <w:r w:rsidRPr="00E32D01">
        <w:rPr>
          <w:rFonts w:ascii="Arial" w:hAnsi="Arial" w:cs="Arial"/>
          <w:sz w:val="12"/>
          <w:szCs w:val="12"/>
        </w:rPr>
        <w:t>В</w:t>
      </w:r>
      <w:r w:rsidRPr="00E32D01">
        <w:rPr>
          <w:rFonts w:ascii="Arial" w:hAnsi="Arial" w:cs="Arial"/>
          <w:sz w:val="12"/>
          <w:szCs w:val="12"/>
        </w:rPr>
        <w:t>;</w:t>
      </w:r>
    </w:p>
    <w:p w:rsidR="00E32D01" w:rsidRPr="00E32D01" w:rsidP="002B1933" w14:paraId="61E6C423" w14:textId="77777777">
      <w:pPr>
        <w:pStyle w:val="FootnoteText"/>
        <w:tabs>
          <w:tab w:val="left" w:pos="142"/>
          <w:tab w:val="left" w:pos="284"/>
        </w:tabs>
        <w:jc w:val="both"/>
        <w:rPr>
          <w:rFonts w:ascii="Arial" w:hAnsi="Arial" w:cs="Arial"/>
          <w:sz w:val="12"/>
          <w:szCs w:val="12"/>
        </w:rPr>
      </w:pPr>
      <w:r w:rsidRPr="00E32D01">
        <w:rPr>
          <w:rFonts w:ascii="Arial" w:hAnsi="Arial" w:cs="Arial"/>
          <w:sz w:val="12"/>
          <w:szCs w:val="12"/>
        </w:rPr>
        <w:t>•</w:t>
      </w:r>
      <w:r w:rsidRPr="00E32D01">
        <w:rPr>
          <w:rFonts w:ascii="Arial" w:hAnsi="Arial" w:cs="Arial"/>
          <w:sz w:val="12"/>
          <w:szCs w:val="12"/>
        </w:rPr>
        <w:tab/>
        <w:t xml:space="preserve">физические лица - владельцы </w:t>
      </w:r>
      <w:r w:rsidRPr="00E32D01">
        <w:rPr>
          <w:rFonts w:ascii="Arial" w:hAnsi="Arial" w:cs="Arial"/>
          <w:sz w:val="12"/>
          <w:szCs w:val="12"/>
        </w:rPr>
        <w:t>энергопринимающих</w:t>
      </w:r>
      <w:r w:rsidRPr="00E32D01">
        <w:rPr>
          <w:rFonts w:ascii="Arial" w:hAnsi="Arial" w:cs="Arial"/>
          <w:sz w:val="12"/>
          <w:szCs w:val="12"/>
        </w:rPr>
        <w:t xml:space="preserve"> устройств, максимальная мощность которых составляет до 150 кВт включительно,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r w:rsidRPr="00E32D01">
        <w:rPr>
          <w:rFonts w:ascii="Arial" w:hAnsi="Arial" w:cs="Arial"/>
          <w:sz w:val="12"/>
          <w:szCs w:val="12"/>
        </w:rPr>
        <w:t>микрогенерации</w:t>
      </w:r>
      <w:r w:rsidRPr="00E32D01">
        <w:rPr>
          <w:rFonts w:ascii="Arial" w:hAnsi="Arial" w:cs="Arial"/>
          <w:sz w:val="12"/>
          <w:szCs w:val="12"/>
        </w:rPr>
        <w:t xml:space="preserve">, присоединяемых к объектам электросетевого хозяйства с уровнем напряжения до 1000 </w:t>
      </w:r>
      <w:r w:rsidRPr="00E32D01">
        <w:rPr>
          <w:rFonts w:ascii="Arial" w:hAnsi="Arial" w:cs="Arial"/>
          <w:sz w:val="12"/>
          <w:szCs w:val="12"/>
        </w:rPr>
        <w:t>В</w:t>
      </w:r>
      <w:r w:rsidRPr="00E32D01">
        <w:rPr>
          <w:rFonts w:ascii="Arial" w:hAnsi="Arial" w:cs="Arial"/>
          <w:sz w:val="12"/>
          <w:szCs w:val="12"/>
        </w:rPr>
        <w:t>;</w:t>
      </w:r>
    </w:p>
    <w:p w:rsidR="00E32D01" w:rsidRPr="00E32D01" w:rsidP="002B1933" w14:paraId="61E6C424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E32D01">
        <w:rPr>
          <w:rFonts w:ascii="Arial" w:hAnsi="Arial" w:cs="Arial"/>
          <w:sz w:val="12"/>
          <w:szCs w:val="12"/>
        </w:rPr>
        <w:t>•</w:t>
      </w:r>
      <w:r w:rsidRPr="00E32D01">
        <w:rPr>
          <w:rFonts w:ascii="Arial" w:hAnsi="Arial" w:cs="Arial"/>
          <w:sz w:val="12"/>
          <w:szCs w:val="12"/>
        </w:rPr>
        <w:tab/>
        <w:t xml:space="preserve">физические лица - владельцы </w:t>
      </w:r>
      <w:r w:rsidRPr="00E32D01">
        <w:rPr>
          <w:rFonts w:ascii="Arial" w:hAnsi="Arial" w:cs="Arial"/>
          <w:sz w:val="12"/>
          <w:szCs w:val="12"/>
        </w:rPr>
        <w:t>энергопринимающих</w:t>
      </w:r>
      <w:r w:rsidRPr="00E32D01">
        <w:rPr>
          <w:rFonts w:ascii="Arial" w:hAnsi="Arial" w:cs="Arial"/>
          <w:sz w:val="12"/>
          <w:szCs w:val="12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r w:rsidRPr="00E32D01">
        <w:rPr>
          <w:rFonts w:ascii="Arial" w:hAnsi="Arial" w:cs="Arial"/>
          <w:sz w:val="12"/>
          <w:szCs w:val="12"/>
        </w:rPr>
        <w:t>энергопринимающих</w:t>
      </w:r>
      <w:r w:rsidRPr="00E32D01">
        <w:rPr>
          <w:rFonts w:ascii="Arial" w:hAnsi="Arial" w:cs="Arial"/>
          <w:sz w:val="12"/>
          <w:szCs w:val="12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83423B"/>
    <w:multiLevelType w:val="hybridMultilevel"/>
    <w:tmpl w:val="FFCA9924"/>
    <w:lvl w:ilvl="0">
      <w:start w:val="0"/>
      <w:numFmt w:val="bullet"/>
      <w:lvlText w:val=""/>
      <w:lvlJc w:val="left"/>
      <w:pPr>
        <w:ind w:left="1352" w:hanging="360"/>
      </w:pPr>
      <w:rPr>
        <w:rFonts w:ascii="Symbol" w:hAnsi="Symbol" w:eastAsiaTheme="minorHAnsi" w:cstheme="minorBidi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082EF6"/>
    <w:multiLevelType w:val="hybridMultilevel"/>
    <w:tmpl w:val="8C3A0A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95AE6"/>
    <w:multiLevelType w:val="hybridMultilevel"/>
    <w:tmpl w:val="309E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1B"/>
    <w:rsid w:val="00002BCC"/>
    <w:rsid w:val="000559FC"/>
    <w:rsid w:val="00057878"/>
    <w:rsid w:val="000975EC"/>
    <w:rsid w:val="000B607F"/>
    <w:rsid w:val="000E5406"/>
    <w:rsid w:val="00117545"/>
    <w:rsid w:val="00120CA1"/>
    <w:rsid w:val="001739F1"/>
    <w:rsid w:val="00175230"/>
    <w:rsid w:val="001C0EC1"/>
    <w:rsid w:val="001C4981"/>
    <w:rsid w:val="001D4002"/>
    <w:rsid w:val="002172B7"/>
    <w:rsid w:val="00255762"/>
    <w:rsid w:val="002B1933"/>
    <w:rsid w:val="00301C03"/>
    <w:rsid w:val="003129F7"/>
    <w:rsid w:val="0032793F"/>
    <w:rsid w:val="0035306D"/>
    <w:rsid w:val="0036185F"/>
    <w:rsid w:val="003933E0"/>
    <w:rsid w:val="003A730E"/>
    <w:rsid w:val="00403603"/>
    <w:rsid w:val="00405DA8"/>
    <w:rsid w:val="00415ABA"/>
    <w:rsid w:val="004B5374"/>
    <w:rsid w:val="004E7715"/>
    <w:rsid w:val="0052026B"/>
    <w:rsid w:val="00531866"/>
    <w:rsid w:val="005B482C"/>
    <w:rsid w:val="005E43F8"/>
    <w:rsid w:val="006460E1"/>
    <w:rsid w:val="006754A9"/>
    <w:rsid w:val="006B045A"/>
    <w:rsid w:val="006C7C1D"/>
    <w:rsid w:val="006D4558"/>
    <w:rsid w:val="006E5C59"/>
    <w:rsid w:val="00734858"/>
    <w:rsid w:val="007974B2"/>
    <w:rsid w:val="007E7D18"/>
    <w:rsid w:val="00800F75"/>
    <w:rsid w:val="00865753"/>
    <w:rsid w:val="00892858"/>
    <w:rsid w:val="008A5292"/>
    <w:rsid w:val="008B40E2"/>
    <w:rsid w:val="008C15E7"/>
    <w:rsid w:val="008D0A17"/>
    <w:rsid w:val="008F2AFA"/>
    <w:rsid w:val="00907F53"/>
    <w:rsid w:val="00927848"/>
    <w:rsid w:val="00942C30"/>
    <w:rsid w:val="009856DC"/>
    <w:rsid w:val="009B65FA"/>
    <w:rsid w:val="00A310EF"/>
    <w:rsid w:val="00A40320"/>
    <w:rsid w:val="00A4412F"/>
    <w:rsid w:val="00A66ED6"/>
    <w:rsid w:val="00B66FFA"/>
    <w:rsid w:val="00BA082E"/>
    <w:rsid w:val="00BA379D"/>
    <w:rsid w:val="00BA3FCF"/>
    <w:rsid w:val="00BE4381"/>
    <w:rsid w:val="00BE5BFE"/>
    <w:rsid w:val="00C030AA"/>
    <w:rsid w:val="00C1573F"/>
    <w:rsid w:val="00C4190E"/>
    <w:rsid w:val="00C57A3A"/>
    <w:rsid w:val="00C74DAC"/>
    <w:rsid w:val="00C97DDA"/>
    <w:rsid w:val="00CA4891"/>
    <w:rsid w:val="00CC2348"/>
    <w:rsid w:val="00CD6EF2"/>
    <w:rsid w:val="00CF55A1"/>
    <w:rsid w:val="00D10F38"/>
    <w:rsid w:val="00D311BC"/>
    <w:rsid w:val="00D836A5"/>
    <w:rsid w:val="00D87B1D"/>
    <w:rsid w:val="00DA263A"/>
    <w:rsid w:val="00E32D01"/>
    <w:rsid w:val="00E47489"/>
    <w:rsid w:val="00EA2AF9"/>
    <w:rsid w:val="00F05546"/>
    <w:rsid w:val="00F5011B"/>
    <w:rsid w:val="00F67E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B76A07-927F-44C2-9942-2ABC901A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4E0D8D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E0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4E0D8D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7F113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FootnoteText">
    <w:name w:val="footnote text"/>
    <w:basedOn w:val="Normal"/>
    <w:link w:val="a0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0">
    <w:name w:val="Текст сноски Знак"/>
    <w:basedOn w:val="DefaultParagraphFont"/>
    <w:link w:val="FootnoteText"/>
    <w:uiPriority w:val="99"/>
    <w:semiHidden/>
    <w:rsid w:val="007F11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11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573F"/>
    <w:pPr>
      <w:ind w:left="720"/>
      <w:contextualSpacing/>
    </w:pPr>
  </w:style>
  <w:style w:type="paragraph" w:customStyle="1" w:styleId="a1">
    <w:name w:val="Ариал"/>
    <w:basedOn w:val="Normal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">
    <w:name w:val="Заголовок 1 Знак"/>
    <w:basedOn w:val="DefaultParagraphFont"/>
    <w:link w:val="Heading1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basedOn w:val="DefaultParagraphFont"/>
    <w:link w:val="Heading5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0"/>
    <w:rsid w:val="00BC7B0D"/>
    <w:pPr>
      <w:numPr>
        <w:ilvl w:val="1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Основной текст 3 Знак"/>
    <w:basedOn w:val="DefaultParagraphFont"/>
    <w:link w:val="BodyText3"/>
    <w:rsid w:val="00BC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07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7668E"/>
  </w:style>
  <w:style w:type="paragraph" w:styleId="Footer">
    <w:name w:val="footer"/>
    <w:basedOn w:val="Normal"/>
    <w:link w:val="a3"/>
    <w:uiPriority w:val="99"/>
    <w:unhideWhenUsed/>
    <w:rsid w:val="0007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7668E"/>
  </w:style>
  <w:style w:type="paragraph" w:customStyle="1" w:styleId="ConsPlusNormal">
    <w:name w:val="ConsPlusNormal"/>
    <w:rsid w:val="00DA26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i/>
      <w:iCs/>
      <w:sz w:val="20"/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rsid w:val="00DA2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DA263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263A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DA263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DefaultParagraphFont"/>
    <w:link w:val="CommentText"/>
    <w:uiPriority w:val="99"/>
    <w:semiHidden/>
    <w:rsid w:val="00DA26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DA263A"/>
    <w:rPr>
      <w:b/>
      <w:bCs/>
    </w:rPr>
  </w:style>
  <w:style w:type="character" w:customStyle="1" w:styleId="a6">
    <w:name w:val="Тема примечания Знак"/>
    <w:basedOn w:val="a5"/>
    <w:link w:val="CommentSubject"/>
    <w:uiPriority w:val="99"/>
    <w:semiHidden/>
    <w:rsid w:val="00DA263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4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yperlink" Target="consultantplus://offline/ref=8361F4C2A0418890FBA24A89C9DF3F9B72826027FE0F8367F0D5DB2FAFXE4CD" TargetMode="External" /><Relationship Id="rId9" Type="http://schemas.openxmlformats.org/officeDocument/2006/relationships/hyperlink" Target="consultantplus://offline/ref=561FB4C9786C87E7D212F37BD0F86651381B136C8523700D5A923BA3F6502C2E3E92BF0F8120E18F7AFACE1892B1AAE7B0C632CEA9ABA5D7U25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3A88-5D6D-4BF0-AB5E-A07666F697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BDA26D-8FF5-4F04-83D0-75BAFB5D1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090EF4-641E-4C94-B2C6-BA5BB3EA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5</cp:revision>
  <dcterms:created xsi:type="dcterms:W3CDTF">2024-10-18T05:33:00Z</dcterms:created>
  <dcterms:modified xsi:type="dcterms:W3CDTF">2025-01-28T06:30:00Z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0x010100A9C548DD321E584B93228BCCF74883D0</vt:lpwstr>
  </property>
  <property fmtid="{D5CDD505-2E9C-101B-9397-08002B2CF9AE}" pid="3" name="ID_item">
    <vt:lpwstr/>
  </property>
</Properties>
</file>